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3B70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firstLine="0" w:firstLineChars="0"/>
        <w:jc w:val="both"/>
        <w:textAlignment w:val="baseline"/>
        <w:rPr>
          <w:rFonts w:hint="default" w:ascii="Times New Roman" w:hAnsi="Times New Roman" w:eastAsia="Arial Unicode MS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59E02A4">
      <w:pPr>
        <w:keepNext w:val="0"/>
        <w:keepLines w:val="0"/>
        <w:pageBreakBefore w:val="0"/>
        <w:widowControl w:val="0"/>
        <w:tabs>
          <w:tab w:val="left" w:pos="31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firstLine="0" w:firstLineChars="0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positio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positio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ab/>
      </w:r>
    </w:p>
    <w:p w14:paraId="019CA44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firstLine="0" w:firstLineChars="0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50A9C9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2025年长三角乡村建设工匠职业技能竞赛</w:t>
      </w:r>
    </w:p>
    <w:p w14:paraId="6F2EF5F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工作方案</w:t>
      </w:r>
    </w:p>
    <w:p w14:paraId="7B24067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positio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0A9136D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为加强长三角地区村镇建设工作交流，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推动乡村建设工匠职业化、专业化发展，为乡村振兴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提供建设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人才支持，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经与上海市、江苏省和安徽省住房城乡建设、工会部门沟通，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拟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共同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举办2025年长三角乡村建设工匠职业技能竞赛。现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制定方案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如下。</w:t>
      </w:r>
    </w:p>
    <w:p w14:paraId="0068C2C7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、时间和地点</w:t>
      </w:r>
    </w:p>
    <w:p w14:paraId="766F8774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（一）时间：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计划6月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下旬举办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，会期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天半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天下午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报到，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组织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观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看现场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召开赛前部署会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天上午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举办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竞赛，下午宣布成绩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颁奖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返程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。</w:t>
      </w:r>
    </w:p>
    <w:p w14:paraId="01DD6642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（二）地点：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嘉兴市嘉善县。</w:t>
      </w:r>
    </w:p>
    <w:p w14:paraId="78054BD1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二、竞赛工种</w:t>
      </w:r>
    </w:p>
    <w:p w14:paraId="1B01EA2F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根据《乡村建设工匠国家职业标准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2024年版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的4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个职业方向，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本次竞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赛中设</w:t>
      </w:r>
      <w:r>
        <w:rPr>
          <w:rFonts w:hint="eastAsia" w:ascii="Times New Roman" w:hAnsi="Times New Roman" w:eastAsia="仿宋_GB2312" w:cstheme="minorBidi"/>
          <w:b/>
          <w:bCs/>
          <w:snapToGrid/>
          <w:kern w:val="2"/>
          <w:sz w:val="32"/>
          <w:szCs w:val="32"/>
          <w:lang w:val="en-US" w:eastAsia="zh-CN" w:bidi="ar-SA"/>
        </w:rPr>
        <w:t>砌筑</w:t>
      </w:r>
      <w:bookmarkStart w:id="0" w:name="_GoBack"/>
      <w:bookmarkEnd w:id="0"/>
      <w:r>
        <w:rPr>
          <w:rFonts w:hint="default" w:ascii="Times New Roman" w:hAnsi="Times New Roman" w:eastAsia="仿宋_GB2312" w:cstheme="minorBidi"/>
          <w:b/>
          <w:bCs/>
          <w:snapToGrid/>
          <w:kern w:val="2"/>
          <w:sz w:val="32"/>
          <w:szCs w:val="32"/>
          <w:lang w:val="en-US" w:eastAsia="zh-CN" w:bidi="ar-SA"/>
        </w:rPr>
        <w:t>工、钢筋工、木工、电工</w:t>
      </w:r>
      <w:r>
        <w:rPr>
          <w:rFonts w:hint="eastAsia" w:ascii="Times New Roman" w:hAnsi="Times New Roman" w:eastAsia="仿宋_GB2312" w:cstheme="minorBidi"/>
          <w:b w:val="0"/>
          <w:bCs w:val="0"/>
          <w:snapToGrid/>
          <w:kern w:val="2"/>
          <w:sz w:val="32"/>
          <w:szCs w:val="32"/>
          <w:lang w:val="en-US" w:eastAsia="zh-CN" w:bidi="ar-SA"/>
        </w:rPr>
        <w:t>4个项目，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竞赛标准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《乡村建设工匠》GZB 6-29-01-07 国家职业标准及相关专业规范。</w:t>
      </w:r>
    </w:p>
    <w:p w14:paraId="7F43AFC5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参赛队伍</w:t>
      </w:r>
    </w:p>
    <w:p w14:paraId="79B269F0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</w:t>
      </w:r>
      <w:r>
        <w:rPr>
          <w:rFonts w:hint="default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）参赛对象：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户籍在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代表队所在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行政区域内，长期在该区域从事乡村建设工作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，并取得工匠培训合格证书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高校、职业院校（含技工院校）教师和学生不得参赛。</w:t>
      </w:r>
    </w:p>
    <w:p w14:paraId="720C84AA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</w:t>
      </w:r>
      <w:r>
        <w:rPr>
          <w:rFonts w:hint="default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）参赛方式：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自行组建参赛队伍，每个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1"/>
        </w:rPr>
        <w:t>赛项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参赛人员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不超过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5名。</w:t>
      </w:r>
    </w:p>
    <w:p w14:paraId="3398E694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奖项设置</w:t>
      </w:r>
    </w:p>
    <w:p w14:paraId="184AF0FF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根据实践操作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总成绩排名，每个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  <w:woUserID w:val="1"/>
        </w:rPr>
        <w:t>工种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设置个人一等奖1名、二等奖2名、三等奖3名，优胜奖若干名，获奖比例不超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过参赛人数的二分之一；获得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一、二、三等奖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个人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，由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组委会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分别给予5000元、4000元、3000元奖励，同时根据当地相关规定，经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省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（市）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总工会核准后可授予个人对应级别称号。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竞赛后如发现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有不符合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参赛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条件的选手，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取消奖项，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不再递补。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另外，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设置团队协作奖、团队组织奖、团队优胜奖、团队拼搏奖。</w:t>
      </w:r>
    </w:p>
    <w:p w14:paraId="5543DD4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、竞赛组织</w:t>
      </w:r>
    </w:p>
    <w:p w14:paraId="5C2D5488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（一）指导单位：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长三角生态绿色一体化发展示范区执行委员会。</w:t>
      </w:r>
    </w:p>
    <w:p w14:paraId="3DFD621A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（二）主办单位：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省住房和城乡建设厅、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总工会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上海市建设委员会、总工会，江苏省住房和城乡建设厅、总工会，安徽省住房和城乡建设厅、总工会，嘉兴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市人民政府。</w:t>
      </w:r>
    </w:p>
    <w:p w14:paraId="6035A0D5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（三）承办单位：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嘉兴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市住房和城乡建设局、总工会，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嘉善县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省村镇建设与发展研究会，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浙江省建设建材工会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87BC7C8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（四）协办单位：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浙江建设职业技术学院，浙江建设技师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、浙江省建工集团有限责任公司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shd w:val="clear" w:color="FFFFFF" w:fill="D9D9D9"/>
          <w:lang w:val="en-US" w:eastAsia="zh-CN" w:bidi="ar-SA"/>
        </w:rPr>
        <w:t>****（嘉善方面赞助单位1家）。</w:t>
      </w:r>
    </w:p>
    <w:p w14:paraId="5EC6E34C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（五）竞赛组委会：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由主办单位、承办单位的相关领导及业务负责人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组成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组委会成员，组委会办公室设在浙江省住房和城乡建设厅。</w:t>
      </w:r>
    </w:p>
    <w:p w14:paraId="3842DD53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/>
          <w:bCs/>
          <w:snapToGrid/>
          <w:kern w:val="2"/>
          <w:sz w:val="32"/>
          <w:szCs w:val="32"/>
          <w:lang w:val="en-US" w:eastAsia="zh-CN" w:bidi="ar-SA"/>
        </w:rPr>
        <w:t>1.裁判人员：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设总裁判长1名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、工种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裁判长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4名、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裁判员36名。竞赛执裁实行总裁判长负责制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总裁判长由浙江省推荐，各省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推荐裁判长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名。</w:t>
      </w:r>
    </w:p>
    <w:p w14:paraId="766927B1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b/>
          <w:bCs/>
          <w:snapToGrid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theme="minorBidi"/>
          <w:b/>
          <w:bCs/>
          <w:snapToGrid/>
          <w:kern w:val="2"/>
          <w:sz w:val="32"/>
          <w:szCs w:val="32"/>
          <w:lang w:val="en-US" w:eastAsia="zh-CN" w:bidi="ar-SA"/>
        </w:rPr>
        <w:t>保障人员</w:t>
      </w:r>
      <w:r>
        <w:rPr>
          <w:rFonts w:hint="eastAsia" w:ascii="Times New Roman" w:hAnsi="Times New Roman" w:eastAsia="仿宋_GB2312" w:cstheme="minorBidi"/>
          <w:b/>
          <w:bCs/>
          <w:snapToGrid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竞赛的统筹协调、赛场策划、技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术支持、赛务保障等人员，由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委会组织与管理。各赛</w:t>
      </w:r>
      <w:r>
        <w:rPr>
          <w:rFonts w:hint="default" w:ascii="Times New Roman" w:hAnsi="Times New Roman" w:eastAsia="仿宋_GB2312" w:cs="Times New Roman"/>
          <w:spacing w:val="26"/>
          <w:sz w:val="32"/>
          <w:szCs w:val="32"/>
        </w:rPr>
        <w:t>项及赛务工作</w:t>
      </w:r>
      <w:r>
        <w:rPr>
          <w:rFonts w:hint="eastAsia" w:ascii="Times New Roman" w:hAnsi="Times New Roman" w:eastAsia="仿宋_GB2312" w:cs="Times New Roman"/>
          <w:spacing w:val="2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6"/>
          <w:sz w:val="32"/>
          <w:szCs w:val="32"/>
        </w:rPr>
        <w:t>服务</w:t>
      </w:r>
      <w:r>
        <w:rPr>
          <w:rFonts w:hint="eastAsia" w:ascii="Times New Roman" w:hAnsi="Times New Roman" w:eastAsia="仿宋_GB2312" w:cs="Times New Roman"/>
          <w:spacing w:val="2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26"/>
          <w:sz w:val="32"/>
          <w:szCs w:val="32"/>
        </w:rPr>
        <w:t>组设组长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26"/>
          <w:sz w:val="32"/>
          <w:szCs w:val="32"/>
        </w:rPr>
        <w:t>名，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副组长及成员根据需要设置。</w:t>
      </w:r>
    </w:p>
    <w:p w14:paraId="31009C48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theme="minorBidi"/>
          <w:b/>
          <w:bCs/>
          <w:snapToGrid/>
          <w:kern w:val="2"/>
          <w:sz w:val="32"/>
          <w:szCs w:val="32"/>
          <w:lang w:val="en-US" w:eastAsia="zh-CN" w:bidi="ar-SA"/>
        </w:rPr>
        <w:t>3.领队人员及联络员：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各省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）确定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领队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联络员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1名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。</w:t>
      </w:r>
    </w:p>
    <w:p w14:paraId="2C10C0E4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eastAsia" w:ascii="黑体" w:hAnsi="黑体" w:eastAsia="黑体" w:cs="黑体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9"/>
          <w:kern w:val="2"/>
          <w:sz w:val="32"/>
          <w:szCs w:val="32"/>
          <w:lang w:val="en-US" w:eastAsia="zh-CN" w:bidi="ar-SA"/>
        </w:rPr>
        <w:t>六、赛前准备</w:t>
      </w:r>
    </w:p>
    <w:p w14:paraId="67DAEE2B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（一）命题</w:t>
      </w:r>
    </w:p>
    <w:p w14:paraId="4014F6CF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浙江省住房和城乡建设厅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组建命题专家组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并编制命题初稿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，专家组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每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  <w:woUserID w:val="1"/>
        </w:rPr>
        <w:t>工种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1名专家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组成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命题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初稿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经各省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）商议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后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形成</w:t>
      </w:r>
      <w:r>
        <w:rPr>
          <w:rFonts w:hint="default" w:ascii="Times New Roman" w:hAnsi="Times New Roman" w:eastAsia="仿宋_GB2312" w:cstheme="minorBidi"/>
          <w:snapToGrid/>
          <w:kern w:val="2"/>
          <w:sz w:val="32"/>
          <w:szCs w:val="32"/>
          <w:lang w:val="en-US" w:eastAsia="zh-CN" w:bidi="ar-SA"/>
        </w:rPr>
        <w:t>竞赛命题。</w:t>
      </w:r>
    </w:p>
    <w:p w14:paraId="284A8EF4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83" w:firstLineChars="200"/>
        <w:jc w:val="both"/>
        <w:textAlignment w:val="baseline"/>
        <w:rPr>
          <w:rFonts w:hint="default" w:ascii="楷体_GB2312" w:hAnsi="楷体_GB2312" w:eastAsia="楷体_GB2312" w:cs="楷体_GB2312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10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pacing w:val="10"/>
          <w:sz w:val="32"/>
          <w:szCs w:val="32"/>
          <w:lang w:val="en-US" w:eastAsia="zh-CN"/>
        </w:rPr>
        <w:t>技术对接</w:t>
      </w:r>
    </w:p>
    <w:p w14:paraId="33ADBAB5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大赛赛项的技能操作考核按照技术文件执行。总裁判长、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工种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裁判长根据工作需要在赛前准备阶段，集中开展2次技术对接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，地点均在</w:t>
      </w:r>
      <w:r>
        <w:rPr>
          <w:rFonts w:hint="eastAsia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zh-CN" w:bidi="ar-SA"/>
        </w:rPr>
        <w:t>嘉善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。</w:t>
      </w:r>
    </w:p>
    <w:p w14:paraId="0AC3D896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en-US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en-US" w:bidi="ar-SA"/>
        </w:rPr>
        <w:t>次集中技术对接</w:t>
      </w:r>
      <w:r>
        <w:rPr>
          <w:rFonts w:hint="eastAsia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上旬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，组织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总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裁判长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工种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裁判长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和承办单位相关负责人等进行技术对接，内容包括依据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  <w:woUserID w:val="1"/>
        </w:rPr>
        <w:t>工种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技术文件，研究设备设施等技术要求及场地布局安排，提出各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eastAsia="en-US" w:bidi="ar-SA"/>
          <w:woUserID w:val="1"/>
        </w:rPr>
        <w:t>赛项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基础设备设施、安全环保等要求，拟定大赛工作计划。</w:t>
      </w:r>
    </w:p>
    <w:p w14:paraId="0EA1C5B6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en-US" w:bidi="ar-SA"/>
        </w:rPr>
        <w:t>第</w:t>
      </w:r>
      <w:r>
        <w:rPr>
          <w:rFonts w:hint="eastAsia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en-US" w:bidi="ar-SA"/>
        </w:rPr>
        <w:t>次集中技术对接</w:t>
      </w:r>
      <w:r>
        <w:rPr>
          <w:rFonts w:hint="eastAsia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月中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下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旬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，全面检查、落实赛前各项技术工作准备情况，答疑或解决存在的问题。研究确定大赛各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eastAsia="en-US" w:bidi="ar-SA"/>
          <w:woUserID w:val="1"/>
        </w:rPr>
        <w:t>赛项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组织及赛务保障工作各环节的具体安排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，发布工种技术要求。</w:t>
      </w:r>
    </w:p>
    <w:p w14:paraId="7ECF4538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83" w:firstLineChars="200"/>
        <w:jc w:val="both"/>
        <w:textAlignment w:val="baseline"/>
        <w:rPr>
          <w:rFonts w:hint="default" w:ascii="楷体_GB2312" w:hAnsi="楷体_GB2312" w:eastAsia="楷体_GB2312" w:cs="楷体_GB2312"/>
          <w:b/>
          <w:bCs/>
          <w:spacing w:val="1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pacing w:val="10"/>
          <w:sz w:val="32"/>
          <w:szCs w:val="32"/>
          <w:lang w:val="en-US" w:eastAsia="zh-CN"/>
        </w:rPr>
        <w:t>场地设施</w:t>
      </w:r>
    </w:p>
    <w:p w14:paraId="402C764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firstLine="679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en-US" w:bidi="ar-SA"/>
        </w:rPr>
        <w:t>赛场区域要求。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赛场应配备相适应的电子监控设备，竞赛场地全程无盲区监控，录像资料由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组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委会保存1年。</w:t>
      </w:r>
    </w:p>
    <w:p w14:paraId="736C3F8B">
      <w:pPr>
        <w:pStyle w:val="4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right="0" w:firstLine="639"/>
        <w:jc w:val="both"/>
        <w:textAlignment w:val="baseline"/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/>
          <w:bCs/>
          <w:spacing w:val="9"/>
          <w:kern w:val="2"/>
          <w:sz w:val="32"/>
          <w:szCs w:val="32"/>
          <w:lang w:val="en-US" w:eastAsia="en-US" w:bidi="ar-SA"/>
        </w:rPr>
        <w:t>设施设备要求。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参赛选手按技术文件规定自带工具材料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技术文件中未标明需由参赛选手自备的设备工具材料均由</w:t>
      </w:r>
      <w:r>
        <w:rPr>
          <w:rFonts w:hint="eastAsia" w:ascii="Times New Roman" w:hAnsi="Times New Roman" w:eastAsia="仿宋_GB2312" w:cs="Times New Roman"/>
          <w:spacing w:val="9"/>
          <w:kern w:val="2"/>
          <w:sz w:val="32"/>
          <w:szCs w:val="32"/>
          <w:lang w:val="en-US" w:eastAsia="zh-CN" w:bidi="ar-SA"/>
        </w:rPr>
        <w:t>组</w:t>
      </w:r>
      <w:r>
        <w:rPr>
          <w:rFonts w:hint="default" w:ascii="Times New Roman" w:hAnsi="Times New Roman" w:eastAsia="仿宋_GB2312" w:cs="Times New Roman"/>
          <w:spacing w:val="9"/>
          <w:kern w:val="2"/>
          <w:sz w:val="32"/>
          <w:szCs w:val="32"/>
          <w:lang w:val="en-US" w:eastAsia="en-US" w:bidi="ar-SA"/>
        </w:rPr>
        <w:t>委会提供。</w:t>
      </w:r>
    </w:p>
    <w:p w14:paraId="3C97DC45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76" w:firstLineChars="200"/>
        <w:jc w:val="both"/>
        <w:textAlignment w:val="baseline"/>
        <w:rPr>
          <w:rFonts w:hint="default" w:ascii="黑体" w:hAnsi="黑体" w:eastAsia="黑体" w:cs="黑体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9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黑体" w:hAnsi="黑体" w:eastAsia="黑体" w:cs="黑体"/>
          <w:spacing w:val="9"/>
          <w:kern w:val="2"/>
          <w:sz w:val="32"/>
          <w:szCs w:val="32"/>
          <w:lang w:val="en-US" w:eastAsia="zh-CN" w:bidi="ar-SA"/>
        </w:rPr>
        <w:t>、经费保障</w:t>
      </w:r>
    </w:p>
    <w:p w14:paraId="17D30737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本次竞赛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活动经费由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浙江省予以保障，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shd w:val="clear" w:color="FFFFFF" w:fill="D9D9D9"/>
          <w:lang w:val="en-US" w:eastAsia="zh-CN" w:bidi="ar-SA"/>
        </w:rPr>
        <w:t>其中浙江省总工会安排**万元，省建设厅安排**万元，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其余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费用由嘉善县负责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各参赛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人员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t>往返交通费自理。</w:t>
      </w:r>
    </w:p>
    <w:p w14:paraId="4D8EE6FE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</w:pPr>
    </w:p>
    <w:p w14:paraId="6206FFB5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</w:pPr>
    </w:p>
    <w:p w14:paraId="6940F4DE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</w:pPr>
    </w:p>
    <w:p w14:paraId="05B78671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60" w:lineRule="exact"/>
        <w:ind w:lef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2"/>
          <w:sz w:val="32"/>
          <w:szCs w:val="32"/>
          <w:lang w:val="en-US" w:eastAsia="zh-CN" w:bidi="ar-SA"/>
        </w:rPr>
        <w:sectPr>
          <w:headerReference r:id="rId5" w:type="default"/>
          <w:footerReference r:id="rId6" w:type="default"/>
          <w:pgSz w:w="11906" w:h="16839"/>
          <w:pgMar w:top="1644" w:right="1644" w:bottom="1644" w:left="1644" w:header="0" w:footer="850" w:gutter="0"/>
          <w:pgNumType w:fmt="decimal"/>
          <w:cols w:space="0" w:num="1"/>
          <w:rtlGutter w:val="0"/>
          <w:docGrid w:linePitch="0" w:charSpace="0"/>
        </w:sectPr>
      </w:pPr>
    </w:p>
    <w:p w14:paraId="183D29AD">
      <w:pPr>
        <w:pStyle w:val="3"/>
        <w:keepNext w:val="0"/>
        <w:keepLines w:val="0"/>
        <w:pageBreakBefore w:val="0"/>
        <w:widowControl/>
        <w:suppressLineNumbers w:val="0"/>
        <w:wordWrap/>
        <w:topLinePunct w:val="0"/>
        <w:bidi w:val="0"/>
        <w:spacing w:before="0" w:beforeAutospacing="1" w:after="0" w:afterAutospacing="0" w:line="660" w:lineRule="exact"/>
        <w:ind w:left="0" w:right="0"/>
        <w:jc w:val="both"/>
        <w:rPr>
          <w:rStyle w:val="13"/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13"/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附</w:t>
      </w:r>
      <w:r>
        <w:rPr>
          <w:rStyle w:val="13"/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件</w:t>
      </w:r>
      <w:r>
        <w:rPr>
          <w:rStyle w:val="13"/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54452D88">
      <w:pPr>
        <w:pStyle w:val="3"/>
        <w:keepNext w:val="0"/>
        <w:keepLines w:val="0"/>
        <w:pageBreakBefore w:val="0"/>
        <w:widowControl/>
        <w:suppressLineNumbers w:val="0"/>
        <w:wordWrap/>
        <w:topLinePunct w:val="0"/>
        <w:bidi w:val="0"/>
        <w:spacing w:before="0" w:beforeAutospacing="1" w:after="0" w:afterAutospacing="0" w:line="66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小标宋简体" w:cs="Times New Roman"/>
          <w:b/>
          <w:sz w:val="44"/>
          <w:szCs w:val="44"/>
        </w:rPr>
        <w:t>长三角乡村建设工匠职业技能竞赛人员构成表</w:t>
      </w:r>
    </w:p>
    <w:tbl>
      <w:tblPr>
        <w:tblStyle w:val="10"/>
        <w:tblW w:w="14718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4500"/>
        <w:gridCol w:w="4487"/>
        <w:gridCol w:w="4726"/>
      </w:tblGrid>
      <w:tr w14:paraId="47C3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tblHeader/>
        </w:trPr>
        <w:tc>
          <w:tcPr>
            <w:tcW w:w="1005" w:type="dxa"/>
            <w:shd w:val="clear" w:color="auto" w:fill="auto"/>
            <w:tcMar>
              <w:left w:w="0" w:type="dxa"/>
            </w:tcMar>
            <w:vAlign w:val="center"/>
          </w:tcPr>
          <w:p w14:paraId="7F8281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角色类别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88C9D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人员构成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5FB43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主要职责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C4F9D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Style w:val="13"/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B0A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shd w:val="clear" w:color="auto" w:fill="auto"/>
            <w:tcMar>
              <w:left w:w="0" w:type="dxa"/>
            </w:tcMar>
            <w:vAlign w:val="center"/>
          </w:tcPr>
          <w:p w14:paraId="3745855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命题人员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BADA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命题专家组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：4名专家（砌筑工、钢筋工、木工、电工各1名）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由浙江省组建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6FA8E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1.负责竞赛命题初稿编制；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2.与各省市商讨确定最终命题。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9514A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专家需具备相关工种高级职称或国家级裁判资格。</w:t>
            </w:r>
          </w:p>
        </w:tc>
      </w:tr>
      <w:tr w14:paraId="1AB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shd w:val="clear" w:color="auto" w:fill="auto"/>
            <w:tcMar>
              <w:left w:w="0" w:type="dxa"/>
            </w:tcMar>
            <w:vAlign w:val="center"/>
          </w:tcPr>
          <w:p w14:paraId="1F3C7B0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裁判人员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240C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总裁判长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：1名（浙江省推荐）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裁判长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：4名（各省市各推荐1名，分属4个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工种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裁判员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：36名（各省市推荐9名，其中砌筑工3名、其他工种各2名）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12B03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总裁判长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：统筹执裁工作，组织技术培训、场地核查、成绩汇总及争议处理；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裁判长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：分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 w:bidi="ar"/>
                <w:woUserID w:val="1"/>
              </w:rPr>
              <w:t>赛项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执裁，协助技术交底与安全培训；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裁判员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：服从安排，公平执裁。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1F87CA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裁判需签署保密协议，禁止参与影响公平性的活动；赛前需统一培训，熟悉技术文件与评分标准。</w:t>
            </w:r>
          </w:p>
        </w:tc>
      </w:tr>
      <w:tr w14:paraId="5B56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shd w:val="clear" w:color="auto" w:fill="auto"/>
            <w:tcMar>
              <w:left w:w="0" w:type="dxa"/>
            </w:tcMar>
            <w:vAlign w:val="center"/>
          </w:tcPr>
          <w:p w14:paraId="679A429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参赛队伍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486117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参赛选手：</w:t>
            </w:r>
            <w:r>
              <w:rPr>
                <w:rFonts w:hint="eastAsia"/>
                <w:lang w:val="en-US" w:eastAsia="zh-CN"/>
              </w:rPr>
              <w:t>代表队所在行政区域内</w:t>
            </w:r>
            <w:r>
              <w:rPr>
                <w:rFonts w:hint="default"/>
                <w:lang w:val="en-US" w:eastAsia="zh-CN"/>
              </w:rPr>
              <w:t>户籍，长期在该区域从事乡村建设工作，取得工匠培训</w:t>
            </w:r>
            <w:r>
              <w:rPr>
                <w:rFonts w:hint="eastAsia"/>
                <w:lang w:val="en-US" w:eastAsia="zh-CN"/>
              </w:rPr>
              <w:t>合格证书；高校、职业院校（含技工院校）教师和学生不得参赛。</w:t>
            </w:r>
            <w:r>
              <w:rPr>
                <w:rFonts w:hint="default"/>
                <w:lang w:val="en-US" w:eastAsia="zh-CN"/>
              </w:rPr>
              <w:t>各省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default"/>
                <w:lang w:val="en-US" w:eastAsia="zh-CN"/>
              </w:rPr>
              <w:t>市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自行组队（三省一市</w:t>
            </w:r>
            <w:r>
              <w:rPr>
                <w:rFonts w:hint="eastAsia"/>
                <w:lang w:val="en-US" w:eastAsia="zh-CN"/>
              </w:rPr>
              <w:t>每个</w:t>
            </w:r>
            <w:r>
              <w:rPr>
                <w:rFonts w:hint="default"/>
                <w:lang w:val="en-US" w:eastAsia="zh-CN"/>
              </w:rPr>
              <w:t>工种</w:t>
            </w:r>
            <w:r>
              <w:rPr>
                <w:rFonts w:hint="eastAsia"/>
                <w:lang w:val="en-US" w:eastAsia="zh-CN"/>
              </w:rPr>
              <w:t>不超过5名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A84E2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 遵守竞赛规则，完成指定赛项；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2. 配合赛务安排，维护赛场秩序。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722977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参赛资格需审核（户籍证明、培训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证书等）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2169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shd w:val="clear" w:color="auto" w:fill="auto"/>
            <w:tcMar>
              <w:left w:w="0" w:type="dxa"/>
            </w:tcMar>
            <w:vAlign w:val="center"/>
          </w:tcPr>
          <w:p w14:paraId="4410423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保障人员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6F960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组长1名（具备赛事经验）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副组长及成员若干（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委会指派）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59A08E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 统筹赛事协调、技术支持与场地保障；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2. 处理突发事件，确保赛事顺利运行。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652FF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组长需具备相关专业背景；赛前需制定应急预案。</w:t>
            </w:r>
          </w:p>
        </w:tc>
      </w:tr>
      <w:tr w14:paraId="064C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shd w:val="clear" w:color="auto" w:fill="auto"/>
            <w:tcMar>
              <w:left w:w="0" w:type="dxa"/>
            </w:tcMar>
            <w:vAlign w:val="center"/>
          </w:tcPr>
          <w:p w14:paraId="375FB26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领队人员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BCFC3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各省市领队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：各1名（由省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市住建部门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领导组成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3EB3AB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 组织本地选手、裁判参赛；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2. 维护纪律，监督竞赛公平性；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3. 代表本省市沟通协调赛务事宜。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322D1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领队需全程参与赛前培训；负责本地人员安全管理与后勤对接。</w:t>
            </w:r>
          </w:p>
        </w:tc>
      </w:tr>
      <w:tr w14:paraId="13CF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shd w:val="clear" w:color="auto" w:fill="auto"/>
            <w:tcMar>
              <w:left w:w="0" w:type="dxa"/>
            </w:tcMar>
            <w:vAlign w:val="center"/>
          </w:tcPr>
          <w:p w14:paraId="6BACD9D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联络员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2111E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Style w:val="13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各省市联络员：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各1名（由各省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市住建部门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确定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4487" w:type="dxa"/>
            <w:shd w:val="clear" w:color="auto" w:fill="auto"/>
            <w:vAlign w:val="center"/>
          </w:tcPr>
          <w:p w14:paraId="69F8F8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1.竞赛前协调联络，统筹组织实施等具体工作；</w:t>
            </w:r>
          </w:p>
          <w:p w14:paraId="66D805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.竞赛中为选手提供实时的技术支持和指导，帮助解决突发问题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1F0114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.协助团队内部的分工与协作，确保团队成员之间的高效配合。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BE0E7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6C2A9776"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60" w:afterAutospacing="0" w:line="400" w:lineRule="exact"/>
        <w:ind w:left="720" w:right="0"/>
        <w:jc w:val="both"/>
        <w:textAlignment w:val="baseline"/>
        <w:rPr>
          <w:rStyle w:val="13"/>
          <w:rFonts w:hint="default" w:ascii="Times New Roman" w:hAnsi="Times New Roman" w:cs="Times New Roman" w:eastAsiaTheme="minorEastAsia"/>
          <w:sz w:val="24"/>
          <w:szCs w:val="24"/>
        </w:rPr>
      </w:pPr>
    </w:p>
    <w:p w14:paraId="343B34C8"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60" w:afterAutospacing="0" w:line="400" w:lineRule="exact"/>
        <w:ind w:right="0" w:firstLine="241" w:firstLineChars="100"/>
        <w:jc w:val="both"/>
        <w:textAlignment w:val="baseline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Style w:val="13"/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注：1.</w:t>
      </w:r>
      <w:r>
        <w:rPr>
          <w:rStyle w:val="13"/>
          <w:rFonts w:hint="default" w:ascii="Times New Roman" w:hAnsi="Times New Roman" w:cs="Times New Roman" w:eastAsiaTheme="minorEastAsia"/>
          <w:sz w:val="24"/>
          <w:szCs w:val="24"/>
        </w:rPr>
        <w:t>裁判员分配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：各省市推荐裁判员时，需按</w:t>
      </w:r>
      <w:r>
        <w:rPr>
          <w:rFonts w:hint="default" w:ascii="Times New Roman" w:hAnsi="Times New Roman" w:cs="Times New Roman" w:eastAsiaTheme="minorEastAsia"/>
          <w:sz w:val="24"/>
          <w:szCs w:val="24"/>
          <w:woUserID w:val="1"/>
        </w:rPr>
        <w:t>赛项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比例分配（砌筑工3名，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钢筋工、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木工、电工各2名），确保覆盖各赛项需求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裁判</w:t>
      </w:r>
    </w:p>
    <w:p w14:paraId="28CF18FB"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60" w:afterAutospacing="0" w:line="400" w:lineRule="exact"/>
        <w:ind w:right="0" w:firstLine="2400" w:firstLineChars="1000"/>
        <w:jc w:val="both"/>
        <w:textAlignment w:val="baseline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长需在赛前核查设备与场地，确保符合技术文件要求。</w:t>
      </w:r>
    </w:p>
    <w:p w14:paraId="2745544D"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60" w:afterAutospacing="0" w:line="400" w:lineRule="exact"/>
        <w:ind w:left="720" w:right="0"/>
        <w:jc w:val="both"/>
        <w:textAlignment w:val="baseline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Style w:val="13"/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2.</w:t>
      </w:r>
      <w:r>
        <w:rPr>
          <w:rStyle w:val="13"/>
          <w:rFonts w:hint="default" w:ascii="Times New Roman" w:hAnsi="Times New Roman" w:cs="Times New Roman" w:eastAsiaTheme="minorEastAsia"/>
          <w:sz w:val="24"/>
          <w:szCs w:val="24"/>
        </w:rPr>
        <w:t>职责边界：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总裁判长拥有最终裁决权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领队不得干预裁判执裁，仅可对争议提出书面申诉。</w:t>
      </w:r>
    </w:p>
    <w:p w14:paraId="3F6659C8"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60" w:afterAutospacing="0" w:line="400" w:lineRule="exact"/>
        <w:ind w:right="0" w:firstLine="723" w:firstLineChars="300"/>
        <w:jc w:val="both"/>
        <w:textAlignment w:val="baseline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Style w:val="13"/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3.</w:t>
      </w:r>
      <w:r>
        <w:rPr>
          <w:rStyle w:val="13"/>
          <w:rFonts w:hint="default" w:ascii="Times New Roman" w:hAnsi="Times New Roman" w:cs="Times New Roman" w:eastAsiaTheme="minorEastAsia"/>
          <w:sz w:val="24"/>
          <w:szCs w:val="24"/>
        </w:rPr>
        <w:t>保密要求：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命题专家、裁判员、保障人员均需签署保密协议，禁止泄露考题、评分细节等敏感信息。</w:t>
      </w:r>
    </w:p>
    <w:p w14:paraId="1C69A664"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60" w:afterAutospacing="0" w:line="400" w:lineRule="exact"/>
        <w:ind w:right="0" w:firstLine="723" w:firstLineChars="300"/>
        <w:jc w:val="both"/>
        <w:textAlignment w:val="baseline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Style w:val="13"/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4.</w:t>
      </w:r>
      <w:r>
        <w:rPr>
          <w:rStyle w:val="13"/>
          <w:rFonts w:hint="default" w:ascii="Times New Roman" w:hAnsi="Times New Roman" w:cs="Times New Roman" w:eastAsiaTheme="minorEastAsia"/>
          <w:sz w:val="24"/>
          <w:szCs w:val="24"/>
        </w:rPr>
        <w:t>应急管理：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保障工作组需在赛前组织安全演练，配备医疗、消防等应急团队。</w:t>
      </w:r>
    </w:p>
    <w:p w14:paraId="5402E058"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right="0" w:firstLine="720" w:firstLineChars="300"/>
        <w:jc w:val="both"/>
        <w:textAlignment w:val="baseline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此表格可结合实际分工细化调整，建议通过赛前协调会明确各角色职责衔接。</w:t>
      </w:r>
    </w:p>
    <w:p w14:paraId="1221713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7CE8B9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6839" w:h="11906" w:orient="landscape"/>
          <w:pgMar w:top="1417" w:right="1134" w:bottom="1134" w:left="1134" w:header="0" w:footer="850" w:gutter="0"/>
          <w:pgNumType w:fmt="decimal"/>
          <w:cols w:space="0" w:num="1"/>
          <w:rtlGutter w:val="0"/>
          <w:docGrid w:linePitch="0" w:charSpace="0"/>
        </w:sectPr>
      </w:pPr>
    </w:p>
    <w:p w14:paraId="4E64CD93"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after="156" w:afterLines="50" w:line="6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CFC25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60" w:lineRule="exact"/>
        <w:jc w:val="center"/>
        <w:textAlignment w:val="baseline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2025年长三角乡村建设工匠职业技能竞赛</w:t>
      </w:r>
    </w:p>
    <w:p w14:paraId="20CDD9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560" w:lineRule="exact"/>
        <w:jc w:val="center"/>
        <w:textAlignment w:val="baseline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裁判员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推荐表</w:t>
      </w:r>
    </w:p>
    <w:tbl>
      <w:tblPr>
        <w:tblStyle w:val="10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488"/>
        <w:gridCol w:w="862"/>
        <w:gridCol w:w="1002"/>
        <w:gridCol w:w="365"/>
        <w:gridCol w:w="498"/>
        <w:gridCol w:w="966"/>
        <w:gridCol w:w="833"/>
        <w:gridCol w:w="877"/>
        <w:gridCol w:w="1359"/>
      </w:tblGrid>
      <w:tr w14:paraId="5BB5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02" w:type="dxa"/>
            <w:vAlign w:val="center"/>
          </w:tcPr>
          <w:p w14:paraId="0632A7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8" w:type="dxa"/>
            <w:vAlign w:val="center"/>
          </w:tcPr>
          <w:p w14:paraId="03BC63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Align w:val="center"/>
          </w:tcPr>
          <w:p w14:paraId="48CE6E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 w14:paraId="2B9024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4CDBA5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政治面貌</w:t>
            </w:r>
          </w:p>
        </w:tc>
        <w:tc>
          <w:tcPr>
            <w:tcW w:w="966" w:type="dxa"/>
            <w:vAlign w:val="center"/>
          </w:tcPr>
          <w:p w14:paraId="2983B8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5804E4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年龄</w:t>
            </w:r>
          </w:p>
        </w:tc>
        <w:tc>
          <w:tcPr>
            <w:tcW w:w="877" w:type="dxa"/>
            <w:vAlign w:val="center"/>
          </w:tcPr>
          <w:p w14:paraId="640B5A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59" w:type="dxa"/>
            <w:vMerge w:val="restart"/>
            <w:vAlign w:val="center"/>
          </w:tcPr>
          <w:p w14:paraId="6EACD2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 w14:paraId="2A37C63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5689600</wp:posOffset>
                  </wp:positionH>
                  <wp:positionV relativeFrom="paragraph">
                    <wp:posOffset>1618615</wp:posOffset>
                  </wp:positionV>
                  <wp:extent cx="948055" cy="1308735"/>
                  <wp:effectExtent l="0" t="0" r="12065" b="1905"/>
                  <wp:wrapNone/>
                  <wp:docPr id="3" name="图片 4" descr="方荣伟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方荣伟照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5537200</wp:posOffset>
                  </wp:positionH>
                  <wp:positionV relativeFrom="paragraph">
                    <wp:posOffset>1466215</wp:posOffset>
                  </wp:positionV>
                  <wp:extent cx="948055" cy="1308735"/>
                  <wp:effectExtent l="0" t="0" r="12065" b="1905"/>
                  <wp:wrapNone/>
                  <wp:docPr id="2" name="图片 3" descr="方荣伟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方荣伟照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照</w:t>
            </w:r>
          </w:p>
          <w:p w14:paraId="636346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片</w:t>
            </w:r>
          </w:p>
        </w:tc>
      </w:tr>
      <w:tr w14:paraId="0824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02" w:type="dxa"/>
            <w:vAlign w:val="center"/>
          </w:tcPr>
          <w:p w14:paraId="441119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488" w:type="dxa"/>
            <w:vAlign w:val="center"/>
          </w:tcPr>
          <w:p w14:paraId="3266EF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2233D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毕业院校</w:t>
            </w:r>
          </w:p>
        </w:tc>
        <w:tc>
          <w:tcPr>
            <w:tcW w:w="3539" w:type="dxa"/>
            <w:gridSpan w:val="5"/>
            <w:vAlign w:val="center"/>
          </w:tcPr>
          <w:p w14:paraId="605626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 w14:paraId="2A66FF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4C6B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02" w:type="dxa"/>
            <w:vAlign w:val="center"/>
          </w:tcPr>
          <w:p w14:paraId="558445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联系方式</w:t>
            </w:r>
          </w:p>
          <w:p w14:paraId="7C3AC3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2350" w:type="dxa"/>
            <w:gridSpan w:val="2"/>
            <w:vAlign w:val="center"/>
          </w:tcPr>
          <w:p w14:paraId="4DDDBB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65" w:type="dxa"/>
            <w:gridSpan w:val="3"/>
            <w:vAlign w:val="center"/>
          </w:tcPr>
          <w:p w14:paraId="67F61D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专业技术职称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职业资格或</w:t>
            </w:r>
          </w:p>
          <w:p w14:paraId="7B3776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职业技能等级</w:t>
            </w:r>
          </w:p>
        </w:tc>
        <w:tc>
          <w:tcPr>
            <w:tcW w:w="4035" w:type="dxa"/>
            <w:gridSpan w:val="4"/>
            <w:vAlign w:val="center"/>
          </w:tcPr>
          <w:p w14:paraId="0E6700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0278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302" w:type="dxa"/>
            <w:vAlign w:val="center"/>
          </w:tcPr>
          <w:p w14:paraId="40E92F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</w:t>
            </w:r>
          </w:p>
          <w:p w14:paraId="0926DF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及职务</w:t>
            </w:r>
          </w:p>
        </w:tc>
        <w:tc>
          <w:tcPr>
            <w:tcW w:w="8250" w:type="dxa"/>
            <w:gridSpan w:val="9"/>
            <w:vAlign w:val="center"/>
          </w:tcPr>
          <w:p w14:paraId="2BABB3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1D71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02" w:type="dxa"/>
            <w:vAlign w:val="center"/>
          </w:tcPr>
          <w:p w14:paraId="0C432C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250" w:type="dxa"/>
            <w:gridSpan w:val="9"/>
            <w:vAlign w:val="center"/>
          </w:tcPr>
          <w:p w14:paraId="7FDE40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 w14:paraId="1CCD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02" w:type="dxa"/>
            <w:vAlign w:val="center"/>
          </w:tcPr>
          <w:p w14:paraId="76AFFE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250" w:type="dxa"/>
            <w:gridSpan w:val="9"/>
            <w:vAlign w:val="center"/>
          </w:tcPr>
          <w:p w14:paraId="7F0DCB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泥瓦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    □钢筋工    □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木工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水电安装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</w:t>
            </w:r>
          </w:p>
        </w:tc>
      </w:tr>
      <w:tr w14:paraId="121C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02" w:type="dxa"/>
            <w:vAlign w:val="center"/>
          </w:tcPr>
          <w:p w14:paraId="02A7BE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250" w:type="dxa"/>
            <w:gridSpan w:val="9"/>
            <w:vAlign w:val="center"/>
          </w:tcPr>
          <w:p w14:paraId="1651BE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3640" w:right="0" w:hanging="3120" w:hangingChars="130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105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302" w:type="dxa"/>
            <w:vAlign w:val="center"/>
          </w:tcPr>
          <w:p w14:paraId="336E25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近5年参加技能竞赛命题、执裁、获奖等主要情况</w:t>
            </w:r>
          </w:p>
        </w:tc>
        <w:tc>
          <w:tcPr>
            <w:tcW w:w="8250" w:type="dxa"/>
            <w:gridSpan w:val="9"/>
            <w:vAlign w:val="center"/>
          </w:tcPr>
          <w:p w14:paraId="7C921EFE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D94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5019" w:type="dxa"/>
            <w:gridSpan w:val="5"/>
          </w:tcPr>
          <w:p w14:paraId="62E19DC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工作单位意见：</w:t>
            </w:r>
          </w:p>
          <w:p w14:paraId="080D2D4A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0DF68C00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5C936EC3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5F4A386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（盖章）：</w:t>
            </w:r>
          </w:p>
          <w:p w14:paraId="1C5126EA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 w:firstLine="720" w:firstLineChars="3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sz w:val="24"/>
                <w:szCs w:val="24"/>
              </w:rPr>
              <w:t>年  月  日</w:t>
            </w:r>
          </w:p>
        </w:tc>
        <w:tc>
          <w:tcPr>
            <w:tcW w:w="4533" w:type="dxa"/>
            <w:gridSpan w:val="5"/>
            <w:vAlign w:val="center"/>
          </w:tcPr>
          <w:p w14:paraId="0A428D0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推荐单位意见：</w:t>
            </w:r>
          </w:p>
          <w:p w14:paraId="4CD06211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2E67F877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20A254F9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（盖章）：</w:t>
            </w:r>
          </w:p>
          <w:p w14:paraId="357F12AE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 w:firstLine="720" w:firstLineChars="3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sz w:val="24"/>
                <w:szCs w:val="24"/>
              </w:rPr>
              <w:t>年  月  日</w:t>
            </w:r>
          </w:p>
        </w:tc>
      </w:tr>
    </w:tbl>
    <w:p w14:paraId="3D4B25C7">
      <w:pPr>
        <w:keepNext w:val="0"/>
        <w:keepLines w:val="0"/>
        <w:pageBreakBefore w:val="0"/>
        <w:wordWrap/>
        <w:topLinePunct w:val="0"/>
        <w:bidi w:val="0"/>
        <w:spacing w:line="6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7" w:type="default"/>
          <w:pgSz w:w="11906" w:h="16838"/>
          <w:pgMar w:top="1417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备注：每个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  <w:woUserID w:val="1"/>
        </w:rPr>
        <w:t>赛项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多推荐裁判员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 w14:paraId="5654F72C">
      <w:pPr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after="156" w:afterLines="50" w:line="6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</w:t>
      </w:r>
    </w:p>
    <w:p w14:paraId="2B7D7966">
      <w:pPr>
        <w:pStyle w:val="5"/>
        <w:keepNext w:val="0"/>
        <w:keepLines w:val="0"/>
        <w:pageBreakBefore w:val="0"/>
        <w:wordWrap/>
        <w:topLinePunct w:val="0"/>
        <w:bidi w:val="0"/>
        <w:spacing w:line="660" w:lineRule="exact"/>
        <w:jc w:val="center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</w:rPr>
        <w:t>2025年长三角乡村建设工匠职业技能竞赛</w:t>
      </w:r>
    </w:p>
    <w:p w14:paraId="06C40BCB">
      <w:pPr>
        <w:pStyle w:val="5"/>
        <w:keepNext w:val="0"/>
        <w:keepLines w:val="0"/>
        <w:pageBreakBefore w:val="0"/>
        <w:wordWrap/>
        <w:topLinePunct w:val="0"/>
        <w:bidi w:val="0"/>
        <w:spacing w:line="660" w:lineRule="exact"/>
        <w:jc w:val="center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</w:rPr>
        <w:t>各</w:t>
      </w: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代表队人员统计</w:t>
      </w: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</w:rPr>
        <w:t>表</w:t>
      </w:r>
    </w:p>
    <w:p w14:paraId="02C76876">
      <w:pPr>
        <w:keepNext w:val="0"/>
        <w:keepLines w:val="0"/>
        <w:pageBreakBefore w:val="0"/>
        <w:wordWrap/>
        <w:topLinePunct w:val="0"/>
        <w:bidi w:val="0"/>
        <w:spacing w:line="660" w:lineRule="exact"/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tbl>
      <w:tblPr>
        <w:tblStyle w:val="11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037"/>
        <w:gridCol w:w="2724"/>
        <w:gridCol w:w="3108"/>
        <w:gridCol w:w="2703"/>
      </w:tblGrid>
      <w:tr w14:paraId="6463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5" w:hRule="atLeast"/>
        </w:trPr>
        <w:tc>
          <w:tcPr>
            <w:tcW w:w="9572" w:type="dxa"/>
            <w:gridSpan w:val="4"/>
            <w:vAlign w:val="center"/>
          </w:tcPr>
          <w:p w14:paraId="67FD6F63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省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市代表队</w:t>
            </w:r>
          </w:p>
        </w:tc>
      </w:tr>
      <w:tr w14:paraId="17FA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0" w:hRule="atLeast"/>
        </w:trPr>
        <w:tc>
          <w:tcPr>
            <w:tcW w:w="9572" w:type="dxa"/>
            <w:gridSpan w:val="4"/>
            <w:vAlign w:val="center"/>
          </w:tcPr>
          <w:p w14:paraId="668EF05E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领队人员：</w:t>
            </w:r>
          </w:p>
        </w:tc>
      </w:tr>
      <w:tr w14:paraId="7254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0" w:hRule="atLeast"/>
        </w:trPr>
        <w:tc>
          <w:tcPr>
            <w:tcW w:w="3761" w:type="dxa"/>
            <w:gridSpan w:val="2"/>
            <w:vAlign w:val="center"/>
          </w:tcPr>
          <w:p w14:paraId="1CE0681A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联络员</w:t>
            </w: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：</w:t>
            </w:r>
          </w:p>
        </w:tc>
        <w:tc>
          <w:tcPr>
            <w:tcW w:w="5811" w:type="dxa"/>
            <w:gridSpan w:val="2"/>
            <w:vAlign w:val="center"/>
          </w:tcPr>
          <w:p w14:paraId="3FBA5E2E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联系方式：</w:t>
            </w:r>
          </w:p>
        </w:tc>
      </w:tr>
      <w:tr w14:paraId="02EF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07" w:hRule="atLeast"/>
        </w:trPr>
        <w:tc>
          <w:tcPr>
            <w:tcW w:w="1037" w:type="dxa"/>
            <w:vAlign w:val="center"/>
          </w:tcPr>
          <w:p w14:paraId="6BFE534D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2724" w:type="dxa"/>
            <w:vAlign w:val="center"/>
          </w:tcPr>
          <w:p w14:paraId="4D90B56A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  <w:woUserID w:val="1"/>
              </w:rPr>
              <w:t>赛项</w:t>
            </w:r>
          </w:p>
        </w:tc>
        <w:tc>
          <w:tcPr>
            <w:tcW w:w="3108" w:type="dxa"/>
            <w:vAlign w:val="center"/>
          </w:tcPr>
          <w:p w14:paraId="7278C6F4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703" w:type="dxa"/>
            <w:vAlign w:val="center"/>
          </w:tcPr>
          <w:p w14:paraId="28CE7D47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性别</w:t>
            </w:r>
          </w:p>
        </w:tc>
      </w:tr>
      <w:tr w14:paraId="2CBC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</w:trPr>
        <w:tc>
          <w:tcPr>
            <w:tcW w:w="1037" w:type="dxa"/>
            <w:vAlign w:val="center"/>
          </w:tcPr>
          <w:p w14:paraId="28BA6B74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4" w:type="dxa"/>
            <w:vAlign w:val="center"/>
          </w:tcPr>
          <w:p w14:paraId="560FA25B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08" w:type="dxa"/>
            <w:vAlign w:val="center"/>
          </w:tcPr>
          <w:p w14:paraId="6288279D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 w14:paraId="677E962D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14:paraId="5156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</w:trPr>
        <w:tc>
          <w:tcPr>
            <w:tcW w:w="1037" w:type="dxa"/>
            <w:vAlign w:val="center"/>
          </w:tcPr>
          <w:p w14:paraId="4A757076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4" w:type="dxa"/>
            <w:vAlign w:val="center"/>
          </w:tcPr>
          <w:p w14:paraId="3A8D3824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08" w:type="dxa"/>
            <w:vAlign w:val="center"/>
          </w:tcPr>
          <w:p w14:paraId="2A35A05D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 w14:paraId="1939F257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14:paraId="1046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</w:trPr>
        <w:tc>
          <w:tcPr>
            <w:tcW w:w="1037" w:type="dxa"/>
            <w:vAlign w:val="center"/>
          </w:tcPr>
          <w:p w14:paraId="145CFBC5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24" w:type="dxa"/>
            <w:vAlign w:val="center"/>
          </w:tcPr>
          <w:p w14:paraId="61D838A2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08" w:type="dxa"/>
            <w:vAlign w:val="center"/>
          </w:tcPr>
          <w:p w14:paraId="0E9B63C6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 w14:paraId="0D5CA2DD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14:paraId="28C3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</w:trPr>
        <w:tc>
          <w:tcPr>
            <w:tcW w:w="1037" w:type="dxa"/>
            <w:vAlign w:val="center"/>
          </w:tcPr>
          <w:p w14:paraId="4D15751E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24" w:type="dxa"/>
            <w:vAlign w:val="center"/>
          </w:tcPr>
          <w:p w14:paraId="7C5FFDAA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08" w:type="dxa"/>
            <w:vAlign w:val="center"/>
          </w:tcPr>
          <w:p w14:paraId="14402D4B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 w14:paraId="3F139BBB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14:paraId="4FEC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</w:trPr>
        <w:tc>
          <w:tcPr>
            <w:tcW w:w="1037" w:type="dxa"/>
            <w:vAlign w:val="center"/>
          </w:tcPr>
          <w:p w14:paraId="663C6B11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24" w:type="dxa"/>
            <w:vAlign w:val="center"/>
          </w:tcPr>
          <w:p w14:paraId="446B8C82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08" w:type="dxa"/>
            <w:vAlign w:val="center"/>
          </w:tcPr>
          <w:p w14:paraId="03EE8069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 w14:paraId="12C33E2A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14:paraId="6B59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</w:trPr>
        <w:tc>
          <w:tcPr>
            <w:tcW w:w="1037" w:type="dxa"/>
            <w:vAlign w:val="center"/>
          </w:tcPr>
          <w:p w14:paraId="77B3FF34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24" w:type="dxa"/>
            <w:vAlign w:val="center"/>
          </w:tcPr>
          <w:p w14:paraId="24537B8C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08" w:type="dxa"/>
            <w:vAlign w:val="center"/>
          </w:tcPr>
          <w:p w14:paraId="41C67294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 w14:paraId="0F3BD062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14:paraId="66AC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</w:trPr>
        <w:tc>
          <w:tcPr>
            <w:tcW w:w="1037" w:type="dxa"/>
            <w:vAlign w:val="center"/>
          </w:tcPr>
          <w:p w14:paraId="3CBE840B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24" w:type="dxa"/>
            <w:vAlign w:val="center"/>
          </w:tcPr>
          <w:p w14:paraId="46E2DFF6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08" w:type="dxa"/>
            <w:vAlign w:val="center"/>
          </w:tcPr>
          <w:p w14:paraId="2AD1DBDA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 w14:paraId="7219C747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14:paraId="2568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</w:trPr>
        <w:tc>
          <w:tcPr>
            <w:tcW w:w="1037" w:type="dxa"/>
            <w:vAlign w:val="center"/>
          </w:tcPr>
          <w:p w14:paraId="42AAA851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24" w:type="dxa"/>
            <w:vAlign w:val="center"/>
          </w:tcPr>
          <w:p w14:paraId="651A2E80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08" w:type="dxa"/>
            <w:vAlign w:val="center"/>
          </w:tcPr>
          <w:p w14:paraId="3C2C90BA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 w14:paraId="048C588B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 w14:paraId="6D63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4" w:hRule="atLeast"/>
        </w:trPr>
        <w:tc>
          <w:tcPr>
            <w:tcW w:w="1037" w:type="dxa"/>
            <w:vAlign w:val="center"/>
          </w:tcPr>
          <w:p w14:paraId="66187058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24" w:type="dxa"/>
            <w:vAlign w:val="center"/>
          </w:tcPr>
          <w:p w14:paraId="297F06B5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08" w:type="dxa"/>
            <w:vAlign w:val="center"/>
          </w:tcPr>
          <w:p w14:paraId="79E13579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 w14:paraId="650DFE08">
            <w:pPr>
              <w:pStyle w:val="5"/>
              <w:keepNext w:val="0"/>
              <w:keepLines w:val="0"/>
              <w:pageBreakBefore w:val="0"/>
              <w:suppressLineNumbers w:val="0"/>
              <w:wordWrap/>
              <w:topLinePunct w:val="0"/>
              <w:bidi w:val="0"/>
              <w:spacing w:before="0" w:beforeAutospacing="0" w:after="0" w:afterAutospacing="0" w:line="6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napToGrid/>
                <w:color w:val="auto"/>
                <w:kern w:val="2"/>
                <w:sz w:val="32"/>
                <w:szCs w:val="32"/>
              </w:rPr>
            </w:pPr>
          </w:p>
        </w:tc>
      </w:tr>
    </w:tbl>
    <w:p w14:paraId="6DDD490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both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9"/>
      <w:pgMar w:top="1134" w:right="1134" w:bottom="1134" w:left="1417" w:header="0" w:footer="85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410C6-B6D7-40C0-B648-6BA2A351D2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uosu SIL">
    <w:altName w:val="Yu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2" w:fontKey="{7A8281F8-3340-4F0D-BEB5-44E06E7154B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F211746-961F-448D-9368-15D53E268D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BA01EB-FB94-4710-9A61-0BD3A03DC1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518C1F3-BF05-4AC2-AF4C-2E35555A683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29D28279-0822-488B-AEA5-61BC83207575}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7" w:fontKey="{5076B429-EE9D-4E58-ABA3-9CCEB8F527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A2396">
    <w:pPr>
      <w:spacing w:beforeLines="0" w:afterLines="0" w:line="176" w:lineRule="auto"/>
      <w:ind w:left="4197"/>
      <w:rPr>
        <w:rFonts w:hint="default"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8911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08911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FACBD">
    <w:pPr>
      <w:pStyle w:val="6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 xml:space="preserve">- </w:t>
    </w:r>
    <w:r>
      <w:rPr>
        <w:rFonts w:hint="default" w:ascii="Times New Roman" w:hAnsi="Times New Roman" w:cs="Times New Roman"/>
        <w:sz w:val="18"/>
        <w:szCs w:val="18"/>
      </w:rPr>
      <w:fldChar w:fldCharType="begin"/>
    </w:r>
    <w:r>
      <w:rPr>
        <w:rFonts w:hint="default" w:ascii="Times New Roman" w:hAnsi="Times New Roman" w:cs="Times New Roman"/>
        <w:sz w:val="18"/>
        <w:szCs w:val="18"/>
      </w:rPr>
      <w:instrText xml:space="preserve"> PAGE   \* MERGEFORMAT </w:instrText>
    </w:r>
    <w:r>
      <w:rPr>
        <w:rFonts w:hint="default" w:ascii="Times New Roman" w:hAnsi="Times New Roman" w:cs="Times New Roman"/>
        <w:sz w:val="18"/>
        <w:szCs w:val="18"/>
      </w:rPr>
      <w:fldChar w:fldCharType="separate"/>
    </w:r>
    <w:r>
      <w:rPr>
        <w:rFonts w:hint="default" w:ascii="Times New Roman" w:hAnsi="Times New Roman" w:cs="Times New Roman"/>
        <w:sz w:val="18"/>
        <w:szCs w:val="18"/>
        <w:lang w:val="zh-CN"/>
      </w:rPr>
      <w:t>2</w:t>
    </w:r>
    <w:r>
      <w:rPr>
        <w:rFonts w:hint="default" w:ascii="Times New Roman" w:hAnsi="Times New Roman" w:cs="Times New Roman"/>
        <w:sz w:val="18"/>
        <w:szCs w:val="18"/>
      </w:rPr>
      <w:fldChar w:fldCharType="end"/>
    </w:r>
    <w:r>
      <w:rPr>
        <w:rFonts w:ascii="宋体"/>
        <w:sz w:val="28"/>
        <w:szCs w:val="28"/>
      </w:rPr>
      <w:t xml:space="preserve"> -</w:t>
    </w:r>
  </w:p>
  <w:p w14:paraId="0A22217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E9A99">
    <w:pPr>
      <w:pStyle w:val="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B63F3"/>
    <w:multiLevelType w:val="singleLevel"/>
    <w:tmpl w:val="3FAB63F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ECB997"/>
    <w:multiLevelType w:val="singleLevel"/>
    <w:tmpl w:val="64ECB9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U4OGUwNTEzODZkYTA4YThlZGM0YmI3OWU5MDkyNGMifQ=="/>
  </w:docVars>
  <w:rsids>
    <w:rsidRoot w:val="00172A27"/>
    <w:rsid w:val="00AA68A3"/>
    <w:rsid w:val="029C246F"/>
    <w:rsid w:val="03546962"/>
    <w:rsid w:val="03A107C3"/>
    <w:rsid w:val="045B49BB"/>
    <w:rsid w:val="04AE05CD"/>
    <w:rsid w:val="058459F1"/>
    <w:rsid w:val="068428E9"/>
    <w:rsid w:val="095073FA"/>
    <w:rsid w:val="096C3611"/>
    <w:rsid w:val="0998469B"/>
    <w:rsid w:val="09F6757A"/>
    <w:rsid w:val="0B62641A"/>
    <w:rsid w:val="0B6470F1"/>
    <w:rsid w:val="0C8B2FB9"/>
    <w:rsid w:val="0C9470DD"/>
    <w:rsid w:val="0D33166D"/>
    <w:rsid w:val="0E167D56"/>
    <w:rsid w:val="0E8C0FC4"/>
    <w:rsid w:val="0EDFD4E5"/>
    <w:rsid w:val="113106E6"/>
    <w:rsid w:val="12FC3C62"/>
    <w:rsid w:val="13381BB1"/>
    <w:rsid w:val="137B0278"/>
    <w:rsid w:val="14097E34"/>
    <w:rsid w:val="15CE592F"/>
    <w:rsid w:val="160B6B83"/>
    <w:rsid w:val="1672595D"/>
    <w:rsid w:val="18BD4A29"/>
    <w:rsid w:val="19D153BE"/>
    <w:rsid w:val="19D973B0"/>
    <w:rsid w:val="1B637AA7"/>
    <w:rsid w:val="1BB25AF1"/>
    <w:rsid w:val="1BEA5C68"/>
    <w:rsid w:val="1C4A2A09"/>
    <w:rsid w:val="1D3B70DD"/>
    <w:rsid w:val="1D571A2E"/>
    <w:rsid w:val="1F6BDF0D"/>
    <w:rsid w:val="1FDF9B69"/>
    <w:rsid w:val="2245341D"/>
    <w:rsid w:val="23887460"/>
    <w:rsid w:val="2393640A"/>
    <w:rsid w:val="23A252FF"/>
    <w:rsid w:val="23F66085"/>
    <w:rsid w:val="24032E77"/>
    <w:rsid w:val="25BF43FD"/>
    <w:rsid w:val="26A2522C"/>
    <w:rsid w:val="26E4E550"/>
    <w:rsid w:val="277F3FE2"/>
    <w:rsid w:val="27F66F41"/>
    <w:rsid w:val="2A2D75C8"/>
    <w:rsid w:val="2AF223EC"/>
    <w:rsid w:val="2CFC3377"/>
    <w:rsid w:val="2E6F5F1B"/>
    <w:rsid w:val="2FA750D8"/>
    <w:rsid w:val="2FBFD631"/>
    <w:rsid w:val="2FCF1039"/>
    <w:rsid w:val="320C542C"/>
    <w:rsid w:val="322F6B3F"/>
    <w:rsid w:val="32D40C6E"/>
    <w:rsid w:val="331F762E"/>
    <w:rsid w:val="333C5935"/>
    <w:rsid w:val="33FFCC1E"/>
    <w:rsid w:val="34071D68"/>
    <w:rsid w:val="35B10DAE"/>
    <w:rsid w:val="35BB5A78"/>
    <w:rsid w:val="36EE1A28"/>
    <w:rsid w:val="37014E77"/>
    <w:rsid w:val="373E256E"/>
    <w:rsid w:val="373FA26E"/>
    <w:rsid w:val="37DED899"/>
    <w:rsid w:val="37EC2700"/>
    <w:rsid w:val="38D02150"/>
    <w:rsid w:val="38ED1BF1"/>
    <w:rsid w:val="391E5C95"/>
    <w:rsid w:val="39407BFC"/>
    <w:rsid w:val="3A9D25F2"/>
    <w:rsid w:val="3AC90889"/>
    <w:rsid w:val="3AF79628"/>
    <w:rsid w:val="3BD575FB"/>
    <w:rsid w:val="3BF7B9BA"/>
    <w:rsid w:val="3C362434"/>
    <w:rsid w:val="3C79C0C3"/>
    <w:rsid w:val="3DBF95AE"/>
    <w:rsid w:val="3DCE9761"/>
    <w:rsid w:val="3E1836C3"/>
    <w:rsid w:val="3E5F540E"/>
    <w:rsid w:val="3EF79308"/>
    <w:rsid w:val="3F0D33CD"/>
    <w:rsid w:val="3FB3502F"/>
    <w:rsid w:val="3FE32077"/>
    <w:rsid w:val="3FED4927"/>
    <w:rsid w:val="40083775"/>
    <w:rsid w:val="4069218A"/>
    <w:rsid w:val="40822C72"/>
    <w:rsid w:val="40D9709E"/>
    <w:rsid w:val="411C75E7"/>
    <w:rsid w:val="41614168"/>
    <w:rsid w:val="440A4097"/>
    <w:rsid w:val="45616A75"/>
    <w:rsid w:val="4565696F"/>
    <w:rsid w:val="45D7DDF6"/>
    <w:rsid w:val="45F428E0"/>
    <w:rsid w:val="45F55A2A"/>
    <w:rsid w:val="45F83A10"/>
    <w:rsid w:val="45FBE8DC"/>
    <w:rsid w:val="46155CC8"/>
    <w:rsid w:val="46236D21"/>
    <w:rsid w:val="46991A49"/>
    <w:rsid w:val="46A63C5C"/>
    <w:rsid w:val="4A52069F"/>
    <w:rsid w:val="4AAD3530"/>
    <w:rsid w:val="4B920D53"/>
    <w:rsid w:val="4B94760A"/>
    <w:rsid w:val="4CC27ADD"/>
    <w:rsid w:val="4CD0771E"/>
    <w:rsid w:val="4D072EF9"/>
    <w:rsid w:val="4D1D78B9"/>
    <w:rsid w:val="4D567D21"/>
    <w:rsid w:val="4D97A2AA"/>
    <w:rsid w:val="4DBB556E"/>
    <w:rsid w:val="4DBF1B24"/>
    <w:rsid w:val="4DFB5553"/>
    <w:rsid w:val="4E401F49"/>
    <w:rsid w:val="4E53B74D"/>
    <w:rsid w:val="4EFF883B"/>
    <w:rsid w:val="4F9DBD99"/>
    <w:rsid w:val="4FF95C31"/>
    <w:rsid w:val="50682FBB"/>
    <w:rsid w:val="516E79EA"/>
    <w:rsid w:val="51DD0126"/>
    <w:rsid w:val="51E24E71"/>
    <w:rsid w:val="527C0268"/>
    <w:rsid w:val="527E5BF1"/>
    <w:rsid w:val="533F6EA0"/>
    <w:rsid w:val="53456F9E"/>
    <w:rsid w:val="535D7D17"/>
    <w:rsid w:val="53E8168D"/>
    <w:rsid w:val="54E149F5"/>
    <w:rsid w:val="54F856DF"/>
    <w:rsid w:val="5692418E"/>
    <w:rsid w:val="577FF2F7"/>
    <w:rsid w:val="581B3CFC"/>
    <w:rsid w:val="589A7317"/>
    <w:rsid w:val="59815DE1"/>
    <w:rsid w:val="5AFA6754"/>
    <w:rsid w:val="5AFF8506"/>
    <w:rsid w:val="5BC30BD9"/>
    <w:rsid w:val="5BFDFAEB"/>
    <w:rsid w:val="5C69647E"/>
    <w:rsid w:val="5CB7F76A"/>
    <w:rsid w:val="5D057E2D"/>
    <w:rsid w:val="5D2C0A6D"/>
    <w:rsid w:val="5D9FFA16"/>
    <w:rsid w:val="5F392FA5"/>
    <w:rsid w:val="5F3E7755"/>
    <w:rsid w:val="5F5EDB5B"/>
    <w:rsid w:val="5F7EA446"/>
    <w:rsid w:val="5FAB6C83"/>
    <w:rsid w:val="5FDB4BFB"/>
    <w:rsid w:val="5FEEDED8"/>
    <w:rsid w:val="60610494"/>
    <w:rsid w:val="609E67C9"/>
    <w:rsid w:val="60C405E6"/>
    <w:rsid w:val="62262BB9"/>
    <w:rsid w:val="62531BA6"/>
    <w:rsid w:val="62935218"/>
    <w:rsid w:val="630A5A6D"/>
    <w:rsid w:val="63DA4F20"/>
    <w:rsid w:val="644E7533"/>
    <w:rsid w:val="64C760C0"/>
    <w:rsid w:val="64EA1CFD"/>
    <w:rsid w:val="655B4350"/>
    <w:rsid w:val="675B5712"/>
    <w:rsid w:val="6785C43E"/>
    <w:rsid w:val="682173CC"/>
    <w:rsid w:val="697D098A"/>
    <w:rsid w:val="6ACA32E3"/>
    <w:rsid w:val="6AEFB2A8"/>
    <w:rsid w:val="6B2C72F4"/>
    <w:rsid w:val="6B364C7D"/>
    <w:rsid w:val="6BEDFC5D"/>
    <w:rsid w:val="6BF64464"/>
    <w:rsid w:val="6BFA817E"/>
    <w:rsid w:val="6D5A218F"/>
    <w:rsid w:val="6E1E1AEF"/>
    <w:rsid w:val="6E26326E"/>
    <w:rsid w:val="6E7564B2"/>
    <w:rsid w:val="6E773359"/>
    <w:rsid w:val="6EBD1966"/>
    <w:rsid w:val="6ECC2E2A"/>
    <w:rsid w:val="6EEA049B"/>
    <w:rsid w:val="6F6EC618"/>
    <w:rsid w:val="6F7B89CB"/>
    <w:rsid w:val="6FC38A4F"/>
    <w:rsid w:val="6FF6B4FF"/>
    <w:rsid w:val="6FFFD59D"/>
    <w:rsid w:val="7058027F"/>
    <w:rsid w:val="70DC324A"/>
    <w:rsid w:val="7114612B"/>
    <w:rsid w:val="716C26E0"/>
    <w:rsid w:val="719B548F"/>
    <w:rsid w:val="71CF5FE8"/>
    <w:rsid w:val="740D01CB"/>
    <w:rsid w:val="74177374"/>
    <w:rsid w:val="750746EB"/>
    <w:rsid w:val="75FFFC8B"/>
    <w:rsid w:val="761A4FD2"/>
    <w:rsid w:val="764D505D"/>
    <w:rsid w:val="76C72F9D"/>
    <w:rsid w:val="773D2A2C"/>
    <w:rsid w:val="777FED50"/>
    <w:rsid w:val="77DFF9DA"/>
    <w:rsid w:val="77F9C3CF"/>
    <w:rsid w:val="77FBE756"/>
    <w:rsid w:val="78756096"/>
    <w:rsid w:val="79513F20"/>
    <w:rsid w:val="79E798E5"/>
    <w:rsid w:val="7AF93B7F"/>
    <w:rsid w:val="7AFE5C03"/>
    <w:rsid w:val="7B1F1821"/>
    <w:rsid w:val="7B25271B"/>
    <w:rsid w:val="7B3C4B56"/>
    <w:rsid w:val="7BAB7C19"/>
    <w:rsid w:val="7BBF6665"/>
    <w:rsid w:val="7BD707C8"/>
    <w:rsid w:val="7BDA22D3"/>
    <w:rsid w:val="7BDBB4A5"/>
    <w:rsid w:val="7BEB49FB"/>
    <w:rsid w:val="7BEE0AD1"/>
    <w:rsid w:val="7C5654E5"/>
    <w:rsid w:val="7C5707BE"/>
    <w:rsid w:val="7CA8E3D3"/>
    <w:rsid w:val="7CC10D53"/>
    <w:rsid w:val="7CD97D2C"/>
    <w:rsid w:val="7CFB249B"/>
    <w:rsid w:val="7D3F229A"/>
    <w:rsid w:val="7D731BD6"/>
    <w:rsid w:val="7DBB48D9"/>
    <w:rsid w:val="7DBE2DD8"/>
    <w:rsid w:val="7DF76587"/>
    <w:rsid w:val="7DFBECFC"/>
    <w:rsid w:val="7E7C2A15"/>
    <w:rsid w:val="7EAB6F53"/>
    <w:rsid w:val="7ED7294A"/>
    <w:rsid w:val="7EDE7CD8"/>
    <w:rsid w:val="7EFDDBAF"/>
    <w:rsid w:val="7F1810F9"/>
    <w:rsid w:val="7F222E20"/>
    <w:rsid w:val="7F3735A7"/>
    <w:rsid w:val="7F4F9735"/>
    <w:rsid w:val="7F5862B7"/>
    <w:rsid w:val="7F67F193"/>
    <w:rsid w:val="7F7FA70D"/>
    <w:rsid w:val="7F950013"/>
    <w:rsid w:val="7FAF8340"/>
    <w:rsid w:val="7FCEE93A"/>
    <w:rsid w:val="7FE775EC"/>
    <w:rsid w:val="7FE79F39"/>
    <w:rsid w:val="7FF3A959"/>
    <w:rsid w:val="7FF7B5B7"/>
    <w:rsid w:val="7FFD2B11"/>
    <w:rsid w:val="7FFE36F4"/>
    <w:rsid w:val="89BD6EC2"/>
    <w:rsid w:val="8ACF2FA5"/>
    <w:rsid w:val="8AF9E906"/>
    <w:rsid w:val="93814CBD"/>
    <w:rsid w:val="95EFD18C"/>
    <w:rsid w:val="9A6FE477"/>
    <w:rsid w:val="9EDD6923"/>
    <w:rsid w:val="9FFDCB59"/>
    <w:rsid w:val="A975CDDC"/>
    <w:rsid w:val="A99FCE47"/>
    <w:rsid w:val="ABDAC32C"/>
    <w:rsid w:val="AC779678"/>
    <w:rsid w:val="AFA69CBA"/>
    <w:rsid w:val="B3FA9984"/>
    <w:rsid w:val="B6F4AE91"/>
    <w:rsid w:val="B9FFA251"/>
    <w:rsid w:val="BA796F4B"/>
    <w:rsid w:val="BBE75751"/>
    <w:rsid w:val="BDDF0D94"/>
    <w:rsid w:val="BEFF2E6B"/>
    <w:rsid w:val="BFAF329F"/>
    <w:rsid w:val="BFBF2045"/>
    <w:rsid w:val="C1BB1C9B"/>
    <w:rsid w:val="C1F7BB3C"/>
    <w:rsid w:val="C57DD310"/>
    <w:rsid w:val="CBBF6E40"/>
    <w:rsid w:val="CD750B96"/>
    <w:rsid w:val="CDF913C5"/>
    <w:rsid w:val="CECF8749"/>
    <w:rsid w:val="CF5F8F8D"/>
    <w:rsid w:val="D7941843"/>
    <w:rsid w:val="D9FF6AA3"/>
    <w:rsid w:val="DBC79C4D"/>
    <w:rsid w:val="DBFF8F66"/>
    <w:rsid w:val="DCFD8AE1"/>
    <w:rsid w:val="DDAB82C6"/>
    <w:rsid w:val="DDBCE722"/>
    <w:rsid w:val="DEBF67FB"/>
    <w:rsid w:val="DEFF2953"/>
    <w:rsid w:val="DF2B7CFB"/>
    <w:rsid w:val="DFF7AF31"/>
    <w:rsid w:val="DFFBA548"/>
    <w:rsid w:val="DFFCF2F4"/>
    <w:rsid w:val="DFFFB5C9"/>
    <w:rsid w:val="E23F89AA"/>
    <w:rsid w:val="EAFBFD53"/>
    <w:rsid w:val="EB7BEA2D"/>
    <w:rsid w:val="EBBF86A0"/>
    <w:rsid w:val="EC67BBB8"/>
    <w:rsid w:val="EDB3F7FA"/>
    <w:rsid w:val="EDBDBBF1"/>
    <w:rsid w:val="EDDDD950"/>
    <w:rsid w:val="EDF6477C"/>
    <w:rsid w:val="EEA76B4B"/>
    <w:rsid w:val="EEEB552B"/>
    <w:rsid w:val="EEFF0FE6"/>
    <w:rsid w:val="EFEF7CE5"/>
    <w:rsid w:val="EFF105D6"/>
    <w:rsid w:val="EFFD6726"/>
    <w:rsid w:val="F0FF9F4D"/>
    <w:rsid w:val="F2B5D075"/>
    <w:rsid w:val="F33C4101"/>
    <w:rsid w:val="F3D7D766"/>
    <w:rsid w:val="F3DE91BF"/>
    <w:rsid w:val="F3E558C3"/>
    <w:rsid w:val="F3F7EB7E"/>
    <w:rsid w:val="F4FF8A2B"/>
    <w:rsid w:val="F5B74836"/>
    <w:rsid w:val="F5EF91A5"/>
    <w:rsid w:val="F5F93D88"/>
    <w:rsid w:val="F6FFBD0A"/>
    <w:rsid w:val="F72F0096"/>
    <w:rsid w:val="F746AA8C"/>
    <w:rsid w:val="F7BD4CE7"/>
    <w:rsid w:val="F7CFE3D4"/>
    <w:rsid w:val="F7FE2003"/>
    <w:rsid w:val="F7FF06A3"/>
    <w:rsid w:val="F7FF4B21"/>
    <w:rsid w:val="F9FF6881"/>
    <w:rsid w:val="FAEEA465"/>
    <w:rsid w:val="FB784870"/>
    <w:rsid w:val="FB79C955"/>
    <w:rsid w:val="FB7B9D30"/>
    <w:rsid w:val="FB9E2206"/>
    <w:rsid w:val="FBDEE7AF"/>
    <w:rsid w:val="FBE6423E"/>
    <w:rsid w:val="FBF5E626"/>
    <w:rsid w:val="FBFAD526"/>
    <w:rsid w:val="FBFBE471"/>
    <w:rsid w:val="FBFFA406"/>
    <w:rsid w:val="FBFFB829"/>
    <w:rsid w:val="FC17AAD9"/>
    <w:rsid w:val="FCF73C9E"/>
    <w:rsid w:val="FCF75F0B"/>
    <w:rsid w:val="FD9B90DD"/>
    <w:rsid w:val="FDA1DED2"/>
    <w:rsid w:val="FDAB9825"/>
    <w:rsid w:val="FDED535C"/>
    <w:rsid w:val="FDEF6406"/>
    <w:rsid w:val="FDF3496D"/>
    <w:rsid w:val="FDFACD60"/>
    <w:rsid w:val="FEAD9D06"/>
    <w:rsid w:val="FEBEB18C"/>
    <w:rsid w:val="FEDD82FD"/>
    <w:rsid w:val="FEDF6B2E"/>
    <w:rsid w:val="FF373B24"/>
    <w:rsid w:val="FF5D8DDA"/>
    <w:rsid w:val="FF5F8092"/>
    <w:rsid w:val="FF5F87AC"/>
    <w:rsid w:val="FF7F6927"/>
    <w:rsid w:val="FF8FBF01"/>
    <w:rsid w:val="FFC7B865"/>
    <w:rsid w:val="FFD5BC67"/>
    <w:rsid w:val="FFD8A7CD"/>
    <w:rsid w:val="FFDB740C"/>
    <w:rsid w:val="FFF7747A"/>
    <w:rsid w:val="FFF7E82A"/>
    <w:rsid w:val="FFFB7659"/>
    <w:rsid w:val="FFFDE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Plain Text"/>
    <w:basedOn w:val="1"/>
    <w:unhideWhenUsed/>
    <w:qFormat/>
    <w:uiPriority w:val="99"/>
    <w:pPr>
      <w:widowControl/>
      <w:suppressAutoHyphens w:val="0"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paragraph" w:customStyle="1" w:styleId="16">
    <w:name w:val="Table Paragraph"/>
    <w:basedOn w:val="1"/>
    <w:qFormat/>
    <w:uiPriority w:val="0"/>
    <w:pPr>
      <w:ind w:left="108"/>
    </w:pPr>
  </w:style>
  <w:style w:type="paragraph" w:customStyle="1" w:styleId="17">
    <w:name w:val="文本框"/>
    <w:qFormat/>
    <w:uiPriority w:val="99"/>
    <w:pPr>
      <w:adjustRightInd w:val="0"/>
      <w:snapToGrid w:val="0"/>
      <w:spacing w:line="320" w:lineRule="exact"/>
    </w:pPr>
    <w:rPr>
      <w:rFonts w:ascii="Nuosu SIL" w:hAnsi="Nuosu SIL" w:eastAsia="仿宋" w:cs="Nuosu SIL"/>
      <w:b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2883</Words>
  <Characters>2949</Characters>
  <Lines>1</Lines>
  <Paragraphs>1</Paragraphs>
  <TotalTime>8</TotalTime>
  <ScaleCrop>false</ScaleCrop>
  <LinksUpToDate>false</LinksUpToDate>
  <CharactersWithSpaces>2983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2023-08-15T07:23:00Z</dcterms:created>
  <dc:creator>Administrator</dc:creator>
  <cp:lastModifiedBy>Administrator</cp:lastModifiedBy>
  <cp:lastPrinted>2024-04-18T17:06:00Z</cp:lastPrinted>
  <dcterms:modified xsi:type="dcterms:W3CDTF">2025-03-27T11:28:40Z</dcterms:modified>
  <dc:title>关于举办2023年浙江省半导体分立器件和集成电路微系统组装工职业技能竞赛的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2024-04-04T10:29:55Z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39D4B7B2F12F4A7789986219839E367A_13</vt:lpwstr>
  </property>
  <property fmtid="{D5CDD505-2E9C-101B-9397-08002B2CF9AE}" pid="6" name="KSOTemplateDocerSaveRecord">
    <vt:lpwstr>eyJoZGlkIjoiNWU4OGUwNTEzODZkYTA4YThlZGM0YmI3OWU5MDkyNGMifQ==</vt:lpwstr>
  </property>
</Properties>
</file>